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2052F8D"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w:t>
      </w:r>
      <w:r w:rsidR="00487CA7">
        <w:rPr>
          <w:rFonts w:eastAsiaTheme="minorEastAsia" w:cs="Arial"/>
          <w:bCs/>
          <w:noProof w:val="0"/>
          <w:sz w:val="22"/>
          <w:szCs w:val="22"/>
          <w:lang w:eastAsia="zh-CN"/>
        </w:rPr>
        <w:t>10</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AB311A" w:rsidRPr="00AB311A">
        <w:rPr>
          <w:rFonts w:eastAsiaTheme="minorEastAsia" w:cs="Arial"/>
          <w:bCs/>
          <w:noProof w:val="0"/>
          <w:color w:val="000000" w:themeColor="text1"/>
          <w:sz w:val="22"/>
          <w:szCs w:val="22"/>
          <w:lang w:val="en-GB" w:eastAsia="zh-CN"/>
        </w:rPr>
        <w:t>2402889</w:t>
      </w:r>
    </w:p>
    <w:p w14:paraId="6A25EC1C" w14:textId="6B690E73" w:rsidR="00E07AF8" w:rsidRPr="006B21ED" w:rsidRDefault="00B218C8" w:rsidP="00E07AF8">
      <w:pPr>
        <w:pStyle w:val="Header"/>
        <w:tabs>
          <w:tab w:val="right" w:pos="9639"/>
          <w:tab w:val="right" w:pos="13323"/>
        </w:tabs>
        <w:jc w:val="both"/>
        <w:rPr>
          <w:rFonts w:eastAsiaTheme="minorEastAsia" w:cs="Arial"/>
          <w:bCs/>
          <w:noProof w:val="0"/>
          <w:sz w:val="22"/>
          <w:szCs w:val="22"/>
          <w:lang w:eastAsia="zh-CN"/>
        </w:rPr>
      </w:pPr>
      <w:r w:rsidRPr="0003750B">
        <w:rPr>
          <w:rFonts w:eastAsiaTheme="minorEastAsia" w:cs="Arial"/>
          <w:bCs/>
          <w:noProof w:val="0"/>
          <w:sz w:val="22"/>
          <w:szCs w:val="22"/>
          <w:lang w:val="en-GB" w:eastAsia="zh-CN"/>
        </w:rPr>
        <w:t>Athens, Greece, Feb. 26</w:t>
      </w:r>
      <w:r w:rsidRPr="0003750B">
        <w:rPr>
          <w:rFonts w:eastAsiaTheme="minorEastAsia" w:cs="Arial"/>
          <w:bCs/>
          <w:noProof w:val="0"/>
          <w:sz w:val="22"/>
          <w:szCs w:val="22"/>
          <w:vertAlign w:val="superscript"/>
          <w:lang w:val="en-GB" w:eastAsia="zh-CN"/>
        </w:rPr>
        <w:t>th</w:t>
      </w:r>
      <w:r w:rsidRPr="0003750B">
        <w:rPr>
          <w:rFonts w:eastAsiaTheme="minorEastAsia" w:cs="Arial"/>
          <w:bCs/>
          <w:noProof w:val="0"/>
          <w:sz w:val="22"/>
          <w:szCs w:val="22"/>
          <w:lang w:val="en-GB" w:eastAsia="zh-CN"/>
        </w:rPr>
        <w:t xml:space="preserve"> – March 1</w:t>
      </w:r>
      <w:r w:rsidRPr="0003750B">
        <w:rPr>
          <w:rFonts w:eastAsiaTheme="minorEastAsia" w:cs="Arial"/>
          <w:bCs/>
          <w:noProof w:val="0"/>
          <w:sz w:val="22"/>
          <w:szCs w:val="22"/>
          <w:vertAlign w:val="superscript"/>
          <w:lang w:val="en-GB" w:eastAsia="zh-CN"/>
        </w:rPr>
        <w:t>st</w:t>
      </w:r>
      <w:r w:rsidRPr="0003750B">
        <w:rPr>
          <w:rFonts w:eastAsiaTheme="minorEastAsia" w:cs="Arial"/>
          <w:bCs/>
          <w:noProof w:val="0"/>
          <w:sz w:val="22"/>
          <w:szCs w:val="22"/>
          <w:lang w:val="en-GB" w:eastAsia="zh-CN"/>
        </w:rPr>
        <w:t>, 2024</w:t>
      </w:r>
    </w:p>
    <w:bookmarkEnd w:id="1"/>
    <w:p w14:paraId="4BDFE11D" w14:textId="4726601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31534E">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.1</w:t>
      </w:r>
      <w:r w:rsidR="00766DB3">
        <w:rPr>
          <w:rFonts w:eastAsiaTheme="minorEastAsia" w:cs="Arial"/>
          <w:bCs/>
          <w:noProof w:val="0"/>
          <w:sz w:val="22"/>
          <w:szCs w:val="22"/>
          <w:lang w:eastAsia="zh-CN"/>
        </w:rPr>
        <w:t>0</w:t>
      </w:r>
      <w:r w:rsidR="00A20182" w:rsidRPr="00A20182">
        <w:rPr>
          <w:rFonts w:eastAsiaTheme="minorEastAsia" w:cs="Arial"/>
          <w:bCs/>
          <w:noProof w:val="0"/>
          <w:sz w:val="22"/>
          <w:szCs w:val="22"/>
          <w:lang w:eastAsia="zh-CN"/>
        </w:rPr>
        <w:t>.</w:t>
      </w:r>
      <w:r w:rsidR="006C2C3D">
        <w:rPr>
          <w:rFonts w:eastAsiaTheme="minorEastAsia" w:cs="Arial"/>
          <w:bCs/>
          <w:noProof w:val="0"/>
          <w:sz w:val="22"/>
          <w:szCs w:val="22"/>
          <w:lang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1B13D0A"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487CA7">
        <w:rPr>
          <w:rFonts w:eastAsiaTheme="minorEastAsia" w:cs="Arial"/>
          <w:bCs/>
          <w:noProof w:val="0"/>
          <w:sz w:val="22"/>
          <w:szCs w:val="22"/>
          <w:lang w:eastAsia="zh-CN"/>
        </w:rPr>
        <w:t>incoming LS</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1F39FB5F"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2" w:name="_Ref118271349"/>
      <w:r w:rsidRPr="006B21ED">
        <w:rPr>
          <w:rFonts w:ascii="Arial" w:hAnsi="Arial" w:cs="Arial"/>
        </w:rPr>
        <w:t>Introduction</w:t>
      </w:r>
      <w:bookmarkEnd w:id="2"/>
    </w:p>
    <w:p w14:paraId="35FFF761" w14:textId="064C1556" w:rsidR="0089640F" w:rsidRDefault="00480893" w:rsidP="00BC73EE">
      <w:pPr>
        <w:jc w:val="both"/>
      </w:pPr>
      <w:r w:rsidRPr="00480893">
        <w:t>RAN1 sent an LS to RAN4 with an issue regarding the configuration of inter-frequency neighbour cell list, including the neighbour cells in NR dedicated spectrum less than 5 MHz for FR1 with single carrier operation</w:t>
      </w:r>
      <w:r w:rsidR="008F2238">
        <w:t xml:space="preserve"> </w:t>
      </w:r>
      <w:r w:rsidR="002430C5">
        <w:fldChar w:fldCharType="begin"/>
      </w:r>
      <w:r w:rsidR="002430C5">
        <w:instrText xml:space="preserve"> REF _Ref115358872 \r \h </w:instrText>
      </w:r>
      <w:r w:rsidR="002430C5">
        <w:fldChar w:fldCharType="separate"/>
      </w:r>
      <w:r w:rsidR="002430C5">
        <w:t>[1]</w:t>
      </w:r>
      <w:r w:rsidR="002430C5">
        <w:fldChar w:fldCharType="end"/>
      </w:r>
      <w:r w:rsidR="009562C5" w:rsidRPr="00480893">
        <w:t>.</w:t>
      </w:r>
      <w:r w:rsidR="009562C5">
        <w:t xml:space="preserve"> </w:t>
      </w:r>
      <w:r w:rsidR="0089640F">
        <w:t>The LS has brief description of the issue and two questions, as given below:</w:t>
      </w:r>
    </w:p>
    <w:tbl>
      <w:tblPr>
        <w:tblStyle w:val="TableGrid"/>
        <w:tblW w:w="0" w:type="auto"/>
        <w:tblLook w:val="04A0" w:firstRow="1" w:lastRow="0" w:firstColumn="1" w:lastColumn="0" w:noHBand="0" w:noVBand="1"/>
      </w:tblPr>
      <w:tblGrid>
        <w:gridCol w:w="9629"/>
      </w:tblGrid>
      <w:tr w:rsidR="0089640F" w:rsidRPr="0089640F" w14:paraId="11088EBD" w14:textId="77777777" w:rsidTr="0089640F">
        <w:tc>
          <w:tcPr>
            <w:tcW w:w="9629" w:type="dxa"/>
          </w:tcPr>
          <w:p w14:paraId="782B0903" w14:textId="3B34A84E" w:rsidR="0089640F" w:rsidRPr="0089640F" w:rsidRDefault="0089640F" w:rsidP="0089640F">
            <w:pPr>
              <w:tabs>
                <w:tab w:val="num" w:pos="1440"/>
              </w:tabs>
              <w:rPr>
                <w:rFonts w:ascii="Arial" w:eastAsia="SimSun" w:hAnsi="Arial" w:cs="Arial"/>
                <w:sz w:val="20"/>
                <w:szCs w:val="20"/>
              </w:rPr>
            </w:pPr>
            <w:r w:rsidRPr="0089640F">
              <w:rPr>
                <w:rFonts w:ascii="Arial" w:eastAsia="SimSun" w:hAnsi="Arial" w:cs="Arial"/>
                <w:sz w:val="20"/>
                <w:szCs w:val="20"/>
              </w:rPr>
              <w:t>According to current specifications, SIB4 indicates the inter-frequency neighbour cell(s) with the dl-</w:t>
            </w:r>
            <w:proofErr w:type="spellStart"/>
            <w:r w:rsidRPr="0089640F">
              <w:rPr>
                <w:rFonts w:ascii="Arial" w:eastAsia="SimSun" w:hAnsi="Arial" w:cs="Arial"/>
                <w:sz w:val="20"/>
                <w:szCs w:val="20"/>
              </w:rPr>
              <w:t>CarrierFreq</w:t>
            </w:r>
            <w:proofErr w:type="spellEnd"/>
            <w:r w:rsidRPr="0089640F">
              <w:rPr>
                <w:rFonts w:ascii="Arial" w:eastAsia="SimSun" w:hAnsi="Arial" w:cs="Arial"/>
                <w:sz w:val="20"/>
                <w:szCs w:val="20"/>
              </w:rPr>
              <w:t xml:space="preserve">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w:t>
            </w:r>
            <w:proofErr w:type="spellStart"/>
            <w:r w:rsidRPr="0089640F">
              <w:rPr>
                <w:rFonts w:ascii="Arial" w:eastAsia="SimSun" w:hAnsi="Arial" w:cs="Arial"/>
                <w:sz w:val="20"/>
                <w:szCs w:val="20"/>
              </w:rPr>
              <w:t>CarrierFreq</w:t>
            </w:r>
            <w:proofErr w:type="spellEnd"/>
            <w:r w:rsidRPr="0089640F">
              <w:rPr>
                <w:rFonts w:ascii="Arial" w:eastAsia="SimSun" w:hAnsi="Arial" w:cs="Arial"/>
                <w:sz w:val="20"/>
                <w:szCs w:val="20"/>
              </w:rPr>
              <w:t xml:space="preserve"> which do not correspond to the Rel-17 GSCN values. </w:t>
            </w:r>
          </w:p>
          <w:p w14:paraId="4100CF16" w14:textId="0D4C17AB" w:rsidR="0089640F" w:rsidRPr="0089640F" w:rsidRDefault="0089640F" w:rsidP="0089640F">
            <w:pPr>
              <w:tabs>
                <w:tab w:val="num" w:pos="1440"/>
              </w:tabs>
              <w:rPr>
                <w:rFonts w:ascii="Arial" w:eastAsia="SimSun" w:hAnsi="Arial" w:cs="Arial"/>
                <w:sz w:val="20"/>
                <w:szCs w:val="20"/>
              </w:rPr>
            </w:pPr>
            <w:r w:rsidRPr="0089640F">
              <w:rPr>
                <w:rFonts w:ascii="Arial" w:hAnsi="Arial" w:cs="Arial"/>
                <w:b/>
                <w:bCs/>
                <w:sz w:val="20"/>
                <w:szCs w:val="20"/>
              </w:rPr>
              <w:t xml:space="preserve">Question 1: </w:t>
            </w:r>
            <w:r w:rsidRPr="0089640F">
              <w:rPr>
                <w:rFonts w:ascii="Arial" w:eastAsia="SimSun" w:hAnsi="Arial" w:cs="Arial"/>
                <w:sz w:val="20"/>
                <w:szCs w:val="20"/>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2EC9DBF8" w14:textId="7A46E856" w:rsidR="0089640F" w:rsidRPr="0089640F" w:rsidRDefault="0089640F" w:rsidP="0089640F">
            <w:pPr>
              <w:tabs>
                <w:tab w:val="num" w:pos="1440"/>
              </w:tabs>
              <w:rPr>
                <w:rFonts w:ascii="Arial" w:eastAsia="SimSun" w:hAnsi="Arial" w:cs="Arial"/>
                <w:sz w:val="20"/>
                <w:szCs w:val="20"/>
              </w:rPr>
            </w:pPr>
            <w:r w:rsidRPr="0089640F">
              <w:rPr>
                <w:rFonts w:ascii="Arial" w:hAnsi="Arial" w:cs="Arial"/>
                <w:b/>
                <w:bCs/>
                <w:sz w:val="20"/>
                <w:szCs w:val="20"/>
              </w:rPr>
              <w:t>Question 2:</w:t>
            </w:r>
            <w:r w:rsidRPr="0089640F">
              <w:rPr>
                <w:rFonts w:ascii="Arial" w:eastAsia="SimSun" w:hAnsi="Arial" w:cs="Arial"/>
                <w:sz w:val="20"/>
                <w:szCs w:val="20"/>
              </w:rPr>
              <w:t xml:space="preserve"> If the answer to Question 1 is Yes, is it possible for RAN2 to define a scheme to avoid the backward compatibility issue?</w:t>
            </w:r>
          </w:p>
        </w:tc>
      </w:tr>
    </w:tbl>
    <w:p w14:paraId="1AFE68BE" w14:textId="4A7CEF95" w:rsidR="00463DA3" w:rsidRDefault="0089640F" w:rsidP="00BC73EE">
      <w:pPr>
        <w:jc w:val="both"/>
      </w:pPr>
      <w:r>
        <w:t xml:space="preserve"> </w:t>
      </w:r>
    </w:p>
    <w:p w14:paraId="50BF7121" w14:textId="77777777" w:rsidR="00555528" w:rsidRDefault="00555528" w:rsidP="00555528">
      <w:pPr>
        <w:pStyle w:val="Heading1"/>
        <w:numPr>
          <w:ilvl w:val="0"/>
          <w:numId w:val="1"/>
        </w:numPr>
        <w:jc w:val="both"/>
        <w:rPr>
          <w:rFonts w:ascii="Arial" w:hAnsi="Arial" w:cs="Arial"/>
        </w:rPr>
      </w:pPr>
      <w:r>
        <w:rPr>
          <w:rFonts w:ascii="Arial" w:hAnsi="Arial" w:cs="Arial"/>
        </w:rPr>
        <w:t xml:space="preserve">Discussion </w:t>
      </w:r>
    </w:p>
    <w:p w14:paraId="5606E395" w14:textId="46506245" w:rsidR="00555528" w:rsidRDefault="00AA2947" w:rsidP="00555528">
      <w:pPr>
        <w:jc w:val="both"/>
      </w:pPr>
      <w:r>
        <w:t>In NR</w:t>
      </w:r>
      <w:r w:rsidR="00600F2E">
        <w:t xml:space="preserve"> (as mentioned in the LS), </w:t>
      </w:r>
      <w:r w:rsidR="00600F2E" w:rsidRPr="00600F2E">
        <w:t>SIB4 indicates the inter-frequency neighbour cell(s) with the dl-</w:t>
      </w:r>
      <w:proofErr w:type="spellStart"/>
      <w:r w:rsidR="00600F2E" w:rsidRPr="00600F2E">
        <w:t>CarrierFreq</w:t>
      </w:r>
      <w:proofErr w:type="spellEnd"/>
      <w:r w:rsidR="00600F2E" w:rsidRPr="00600F2E">
        <w:t xml:space="preserve"> corresponding to a GSCN value</w:t>
      </w:r>
      <w:r w:rsidR="00600F2E">
        <w:t>. In legacy NR, the GSCN of BW &gt; 5MHz are defined in legacy tables as mentioned in the LS, while the new GSCN values of BW &lt; 5MHz are defined based on the new sync raster. The main motivation of defining the new sync raster was to not impact the legacy UE.</w:t>
      </w:r>
      <w:r w:rsidR="00F778B2">
        <w:t xml:space="preserve"> This is because the new sync raster </w:t>
      </w:r>
      <w:r w:rsidR="00624873">
        <w:t>is</w:t>
      </w:r>
      <w:r w:rsidR="00F778B2">
        <w:t xml:space="preserve"> defined in existing bands (not new bands).</w:t>
      </w:r>
      <w:r w:rsidR="00600F2E">
        <w:t xml:space="preserve"> Now, this means if the NW send a single list for all legacy and new &lt;5MHz UEs then the legacy UE can’t differentiate the new truncated SSB and thus the cell search will be impacted or failed. Therefore, RAN4 should answer to RAN1 and inform them that RAN4 </w:t>
      </w:r>
      <w:r w:rsidR="00600F2E" w:rsidRPr="00600F2E">
        <w:t>expect backward compatibility issue for a UE not supporting less than 5MHz but provided with a neighbour cell with SSB on the new GSCN value</w:t>
      </w:r>
      <w:r w:rsidR="00600F2E">
        <w:t xml:space="preserve">. However, regarding how to define the signalling should be left to RAN2 experts. </w:t>
      </w:r>
    </w:p>
    <w:p w14:paraId="6BCEB763" w14:textId="77777777" w:rsidR="00555528" w:rsidRPr="00D15233" w:rsidRDefault="00555528" w:rsidP="00555528">
      <w:pPr>
        <w:jc w:val="both"/>
        <w:rPr>
          <w:b/>
          <w:bCs/>
          <w:sz w:val="8"/>
          <w:szCs w:val="10"/>
        </w:rPr>
      </w:pPr>
    </w:p>
    <w:p w14:paraId="745E3AE9" w14:textId="7BE3D529" w:rsidR="00555528" w:rsidRPr="00EF56F2" w:rsidRDefault="00F778B2" w:rsidP="00555528">
      <w:pPr>
        <w:pStyle w:val="ListParagraph"/>
        <w:numPr>
          <w:ilvl w:val="0"/>
          <w:numId w:val="5"/>
        </w:numPr>
        <w:spacing w:after="180"/>
        <w:contextualSpacing w:val="0"/>
        <w:jc w:val="both"/>
        <w:rPr>
          <w:rFonts w:ascii="Times New Roman" w:hAnsi="Times New Roman" w:cs="Times New Roman"/>
          <w:sz w:val="20"/>
          <w:szCs w:val="20"/>
        </w:rPr>
      </w:pPr>
      <w:bookmarkStart w:id="3" w:name="_Ref149917400"/>
      <w:r>
        <w:rPr>
          <w:rFonts w:cstheme="minorHAnsi"/>
          <w:b/>
          <w:lang w:eastAsia="ko-KR"/>
        </w:rPr>
        <w:t xml:space="preserve">Answer to Q1: </w:t>
      </w:r>
      <w:r w:rsidRPr="00F778B2">
        <w:rPr>
          <w:rFonts w:cstheme="minorHAnsi"/>
          <w:b/>
          <w:lang w:eastAsia="ko-KR"/>
        </w:rPr>
        <w:t>RAN4 should answer to RAN1 and inform them that RAN4 expect backward compatibility issue for a UE not supporting less than 5MHz but provided with a neighbour cell with SSB on the new GSCN value</w:t>
      </w:r>
      <w:r w:rsidR="00555528" w:rsidRPr="002F5A53">
        <w:rPr>
          <w:rFonts w:cstheme="minorHAnsi"/>
          <w:b/>
          <w:lang w:eastAsia="ko-KR"/>
        </w:rPr>
        <w:t>.</w:t>
      </w:r>
      <w:bookmarkEnd w:id="3"/>
    </w:p>
    <w:p w14:paraId="284893D6" w14:textId="020F3EFB" w:rsidR="00F9624F" w:rsidRDefault="00F778B2" w:rsidP="00FF5202">
      <w:pPr>
        <w:pStyle w:val="ListParagraph"/>
        <w:numPr>
          <w:ilvl w:val="0"/>
          <w:numId w:val="5"/>
        </w:numPr>
        <w:spacing w:after="180"/>
        <w:contextualSpacing w:val="0"/>
        <w:jc w:val="both"/>
        <w:rPr>
          <w:rFonts w:ascii="Times New Roman" w:hAnsi="Times New Roman" w:cs="Times New Roman"/>
          <w:sz w:val="20"/>
          <w:szCs w:val="20"/>
        </w:rPr>
      </w:pPr>
      <w:bookmarkStart w:id="4" w:name="_Ref159260564"/>
      <w:r>
        <w:rPr>
          <w:rFonts w:cstheme="minorHAnsi"/>
          <w:b/>
          <w:lang w:eastAsia="ko-KR"/>
        </w:rPr>
        <w:t>Answer to Q</w:t>
      </w:r>
      <w:r w:rsidR="00355E82">
        <w:rPr>
          <w:rFonts w:cstheme="minorHAnsi"/>
          <w:b/>
          <w:lang w:eastAsia="ko-KR"/>
        </w:rPr>
        <w:t>2</w:t>
      </w:r>
      <w:r>
        <w:rPr>
          <w:rFonts w:cstheme="minorHAnsi"/>
          <w:b/>
          <w:lang w:eastAsia="ko-KR"/>
        </w:rPr>
        <w:t xml:space="preserve">: </w:t>
      </w:r>
      <w:r w:rsidRPr="00F778B2">
        <w:rPr>
          <w:rFonts w:cstheme="minorHAnsi"/>
          <w:b/>
          <w:lang w:eastAsia="ko-KR"/>
        </w:rPr>
        <w:t>regarding how to define the signalling should be left to RAN2 experts</w:t>
      </w:r>
      <w:r>
        <w:rPr>
          <w:rFonts w:cstheme="minorHAnsi"/>
          <w:b/>
          <w:lang w:eastAsia="ko-KR"/>
        </w:rPr>
        <w:t>.</w:t>
      </w:r>
      <w:bookmarkEnd w:id="4"/>
      <w:r w:rsidR="00F9624F">
        <w:rPr>
          <w:rFonts w:ascii="Times New Roman" w:hAnsi="Times New Roman" w:cs="Times New Roman"/>
          <w:sz w:val="20"/>
          <w:szCs w:val="20"/>
        </w:rPr>
        <w:t xml:space="preserve"> </w:t>
      </w:r>
    </w:p>
    <w:p w14:paraId="4315157B" w14:textId="67FE54C3" w:rsidR="00F778B2" w:rsidRDefault="00F778B2" w:rsidP="00F778B2">
      <w:pPr>
        <w:pStyle w:val="ListParagraph"/>
        <w:ind w:left="0"/>
        <w:jc w:val="both"/>
      </w:pPr>
      <w:r>
        <w:t xml:space="preserve">Furthermore, this issue might impact UE operating in LTE and performing cell search for NR cells. This is because in LTE, SIB24 </w:t>
      </w:r>
      <w:r w:rsidRPr="00F778B2">
        <w:t>provides the cell reselection configuration for inter-RAT/NR neighbour cell(s), where the ARFCN-ValueNR-r15 of carrierFreq-r15 is the GSCN value for the SSB</w:t>
      </w:r>
      <w:r>
        <w:t xml:space="preserve">. </w:t>
      </w:r>
      <w:proofErr w:type="gramStart"/>
      <w:r>
        <w:t>Similar to</w:t>
      </w:r>
      <w:proofErr w:type="gramEnd"/>
      <w:r>
        <w:t xml:space="preserve"> the same issue of NR:</w:t>
      </w:r>
    </w:p>
    <w:p w14:paraId="6312C213" w14:textId="77777777" w:rsidR="00F778B2" w:rsidRPr="00F778B2" w:rsidRDefault="00F778B2" w:rsidP="00F778B2">
      <w:pPr>
        <w:pStyle w:val="ListParagraph"/>
        <w:numPr>
          <w:ilvl w:val="0"/>
          <w:numId w:val="41"/>
        </w:numPr>
        <w:jc w:val="both"/>
      </w:pPr>
      <w:r w:rsidRPr="00F778B2">
        <w:lastRenderedPageBreak/>
        <w:t xml:space="preserve">For legacy UEs, the ARFCN-ValueNR-r15 of the inter-RAT/NR neighbour cells should be only legacy sync raster points with 20PRB SSB. </w:t>
      </w:r>
    </w:p>
    <w:p w14:paraId="61AC31C3" w14:textId="77777777" w:rsidR="00F778B2" w:rsidRPr="00F778B2" w:rsidRDefault="00F778B2" w:rsidP="00F778B2">
      <w:pPr>
        <w:pStyle w:val="ListParagraph"/>
        <w:numPr>
          <w:ilvl w:val="0"/>
          <w:numId w:val="41"/>
        </w:numPr>
        <w:jc w:val="both"/>
      </w:pPr>
      <w:r w:rsidRPr="00F778B2">
        <w:t>For new UEs supporting cells less than 5MHz, the ARFCN-ValueNR-r15 of the inter-RAT/NR neighbour cell list can be legacy sync raster points or new sync raster points with 20PRB/12PRB SSB.</w:t>
      </w:r>
    </w:p>
    <w:p w14:paraId="2306A60B" w14:textId="3F464C6A" w:rsidR="00F778B2" w:rsidRDefault="00F778B2" w:rsidP="00F778B2">
      <w:pPr>
        <w:pStyle w:val="ListParagraph"/>
        <w:ind w:left="0"/>
        <w:jc w:val="both"/>
      </w:pPr>
      <w:r>
        <w:t xml:space="preserve">Therefore, we would like to discuss this issue with the issue triggered by the LS. </w:t>
      </w:r>
    </w:p>
    <w:p w14:paraId="649D2E42" w14:textId="1F9CD715" w:rsidR="00CC4194" w:rsidRDefault="00CC4194" w:rsidP="00CC4194">
      <w:pPr>
        <w:jc w:val="both"/>
        <w:rPr>
          <w:b/>
          <w:bCs/>
          <w:szCs w:val="24"/>
        </w:rPr>
      </w:pPr>
      <w:r>
        <w:rPr>
          <w:b/>
          <w:bCs/>
          <w:szCs w:val="24"/>
        </w:rPr>
        <w:t xml:space="preserve">Observation 1: Similar issue to that raised by RAN1 in their LS are happening in LTE with SIB24 for legacy UE that doesn’t support &lt;5MHz. </w:t>
      </w:r>
    </w:p>
    <w:p w14:paraId="56764ABA" w14:textId="5D4E8FD5" w:rsidR="00496C79" w:rsidRDefault="00496C79" w:rsidP="00496C79">
      <w:pPr>
        <w:pStyle w:val="ListParagraph"/>
        <w:numPr>
          <w:ilvl w:val="0"/>
          <w:numId w:val="5"/>
        </w:numPr>
        <w:spacing w:after="180"/>
        <w:contextualSpacing w:val="0"/>
        <w:jc w:val="both"/>
        <w:rPr>
          <w:rFonts w:ascii="Times New Roman" w:hAnsi="Times New Roman" w:cs="Times New Roman"/>
          <w:sz w:val="20"/>
          <w:szCs w:val="20"/>
        </w:rPr>
      </w:pPr>
      <w:bookmarkStart w:id="5" w:name="_Ref159260581"/>
      <w:r>
        <w:rPr>
          <w:rFonts w:cstheme="minorHAnsi"/>
          <w:b/>
          <w:lang w:eastAsia="ko-KR"/>
        </w:rPr>
        <w:t>RAN4 shall discuss the issue of LTE with SIB24 at the same time with the issue of NR with SIB4.</w:t>
      </w:r>
      <w:bookmarkEnd w:id="5"/>
      <w:r>
        <w:rPr>
          <w:rFonts w:ascii="Times New Roman" w:hAnsi="Times New Roman" w:cs="Times New Roman"/>
          <w:sz w:val="20"/>
          <w:szCs w:val="20"/>
        </w:rPr>
        <w:t xml:space="preserve"> </w:t>
      </w:r>
    </w:p>
    <w:p w14:paraId="6E811D2D" w14:textId="77777777" w:rsidR="00F778B2" w:rsidRPr="00F778B2" w:rsidRDefault="00F778B2" w:rsidP="00F778B2">
      <w:pPr>
        <w:spacing w:after="18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07DE516A"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6" w:name="_Ref92572437"/>
    </w:p>
    <w:p w14:paraId="712A0DEC" w14:textId="7092727F" w:rsidR="00216BB7" w:rsidRPr="005754B9" w:rsidRDefault="00216BB7" w:rsidP="00216BB7">
      <w:pPr>
        <w:jc w:val="both"/>
        <w:rPr>
          <w:b/>
          <w:bCs/>
          <w:szCs w:val="24"/>
        </w:rPr>
      </w:pPr>
      <w:r w:rsidRPr="00CC6371">
        <w:rPr>
          <w:b/>
          <w:bCs/>
          <w:szCs w:val="24"/>
        </w:rPr>
        <w:t>Observation</w:t>
      </w:r>
      <w:r>
        <w:rPr>
          <w:b/>
          <w:bCs/>
          <w:szCs w:val="24"/>
        </w:rPr>
        <w:t xml:space="preserve"> 1</w:t>
      </w:r>
      <w:r w:rsidRPr="00CC6371">
        <w:rPr>
          <w:b/>
          <w:bCs/>
          <w:szCs w:val="24"/>
        </w:rPr>
        <w:t xml:space="preserve">: </w:t>
      </w:r>
      <w:r w:rsidR="00496C79">
        <w:rPr>
          <w:b/>
          <w:bCs/>
          <w:szCs w:val="24"/>
        </w:rPr>
        <w:t>Similar issue to that raised by RAN1 in their LS are happening in LTE with SIB24 for legacy UE that doesn’t support &lt;5MHz</w:t>
      </w:r>
      <w:r w:rsidRPr="00CC6371">
        <w:rPr>
          <w:b/>
          <w:bCs/>
          <w:szCs w:val="24"/>
        </w:rPr>
        <w:t xml:space="preserve">. </w:t>
      </w:r>
    </w:p>
    <w:p w14:paraId="517B9020" w14:textId="77777777" w:rsidR="00496C79" w:rsidRPr="00595A8F" w:rsidRDefault="00496C79" w:rsidP="00216BB7">
      <w:pPr>
        <w:jc w:val="both"/>
        <w:rPr>
          <w:b/>
          <w:bCs/>
          <w:sz w:val="10"/>
          <w:szCs w:val="12"/>
        </w:rPr>
      </w:pPr>
    </w:p>
    <w:p w14:paraId="62A55CC2" w14:textId="4214F5E4" w:rsidR="00526046" w:rsidRDefault="00526046" w:rsidP="00216BB7">
      <w:pPr>
        <w:jc w:val="both"/>
        <w:rPr>
          <w:b/>
          <w:bCs/>
          <w:szCs w:val="24"/>
        </w:rPr>
      </w:pPr>
      <w:r>
        <w:rPr>
          <w:b/>
          <w:bCs/>
          <w:szCs w:val="24"/>
        </w:rPr>
        <w:fldChar w:fldCharType="begin"/>
      </w:r>
      <w:r>
        <w:rPr>
          <w:b/>
          <w:bCs/>
          <w:szCs w:val="24"/>
        </w:rPr>
        <w:instrText xml:space="preserve"> REF _Ref149917400 \r \h </w:instrText>
      </w:r>
      <w:r>
        <w:rPr>
          <w:b/>
          <w:bCs/>
          <w:szCs w:val="24"/>
        </w:rPr>
      </w:r>
      <w:r>
        <w:rPr>
          <w:b/>
          <w:bCs/>
          <w:szCs w:val="24"/>
        </w:rPr>
        <w:fldChar w:fldCharType="separate"/>
      </w:r>
      <w:r w:rsidR="00496C79">
        <w:rPr>
          <w:b/>
          <w:bCs/>
          <w:szCs w:val="24"/>
        </w:rPr>
        <w:t>Proposal 1:</w:t>
      </w:r>
      <w:r>
        <w:rPr>
          <w:b/>
          <w:bCs/>
          <w:szCs w:val="24"/>
        </w:rPr>
        <w:fldChar w:fldCharType="end"/>
      </w:r>
      <w:r>
        <w:rPr>
          <w:b/>
          <w:bCs/>
          <w:szCs w:val="24"/>
        </w:rPr>
        <w:t xml:space="preserve"> </w:t>
      </w:r>
      <w:r>
        <w:rPr>
          <w:b/>
          <w:bCs/>
          <w:szCs w:val="24"/>
        </w:rPr>
        <w:fldChar w:fldCharType="begin"/>
      </w:r>
      <w:r>
        <w:rPr>
          <w:b/>
          <w:bCs/>
          <w:szCs w:val="24"/>
        </w:rPr>
        <w:instrText xml:space="preserve"> REF _Ref149917400 \h </w:instrText>
      </w:r>
      <w:r>
        <w:rPr>
          <w:b/>
          <w:bCs/>
          <w:szCs w:val="24"/>
        </w:rPr>
      </w:r>
      <w:r>
        <w:rPr>
          <w:b/>
          <w:bCs/>
          <w:szCs w:val="24"/>
        </w:rPr>
        <w:fldChar w:fldCharType="separate"/>
      </w:r>
      <w:r w:rsidR="00496C79">
        <w:rPr>
          <w:rFonts w:cstheme="minorHAnsi"/>
          <w:b/>
          <w:lang w:eastAsia="ko-KR"/>
        </w:rPr>
        <w:t xml:space="preserve">Answer to Q1: </w:t>
      </w:r>
      <w:r w:rsidR="00496C79" w:rsidRPr="00F778B2">
        <w:rPr>
          <w:rFonts w:cstheme="minorHAnsi"/>
          <w:b/>
          <w:lang w:eastAsia="ko-KR"/>
        </w:rPr>
        <w:t>RAN4 should answer to RAN1 and inform them that RAN4 expect backward compatibility issue for a UE not supporting less than 5MHz but provided with a neighbour cell with SSB on the new GSCN value</w:t>
      </w:r>
      <w:r w:rsidR="00496C79" w:rsidRPr="002F5A53">
        <w:rPr>
          <w:rFonts w:cstheme="minorHAnsi"/>
          <w:b/>
          <w:lang w:eastAsia="ko-KR"/>
        </w:rPr>
        <w:t>.</w:t>
      </w:r>
      <w:r>
        <w:rPr>
          <w:b/>
          <w:bCs/>
          <w:szCs w:val="24"/>
        </w:rPr>
        <w:fldChar w:fldCharType="end"/>
      </w:r>
    </w:p>
    <w:p w14:paraId="3929F6AF" w14:textId="3F658D9F" w:rsidR="0029397D" w:rsidRDefault="0029397D" w:rsidP="00216BB7">
      <w:pPr>
        <w:jc w:val="both"/>
        <w:rPr>
          <w:b/>
          <w:bCs/>
          <w:szCs w:val="24"/>
        </w:rPr>
      </w:pPr>
      <w:r>
        <w:rPr>
          <w:b/>
          <w:bCs/>
          <w:szCs w:val="24"/>
        </w:rPr>
        <w:fldChar w:fldCharType="begin"/>
      </w:r>
      <w:r>
        <w:rPr>
          <w:b/>
          <w:bCs/>
          <w:szCs w:val="24"/>
        </w:rPr>
        <w:instrText xml:space="preserve"> REF _Ref159260564 \r \h </w:instrText>
      </w:r>
      <w:r>
        <w:rPr>
          <w:b/>
          <w:bCs/>
          <w:szCs w:val="24"/>
        </w:rPr>
      </w:r>
      <w:r>
        <w:rPr>
          <w:b/>
          <w:bCs/>
          <w:szCs w:val="24"/>
        </w:rPr>
        <w:fldChar w:fldCharType="separate"/>
      </w:r>
      <w:r>
        <w:rPr>
          <w:b/>
          <w:bCs/>
          <w:szCs w:val="24"/>
        </w:rPr>
        <w:t>Proposal 2:</w:t>
      </w:r>
      <w:r>
        <w:rPr>
          <w:b/>
          <w:bCs/>
          <w:szCs w:val="24"/>
        </w:rPr>
        <w:fldChar w:fldCharType="end"/>
      </w:r>
      <w:r>
        <w:rPr>
          <w:b/>
          <w:bCs/>
          <w:szCs w:val="24"/>
        </w:rPr>
        <w:t xml:space="preserve"> </w:t>
      </w:r>
      <w:r>
        <w:rPr>
          <w:b/>
          <w:bCs/>
          <w:szCs w:val="24"/>
        </w:rPr>
        <w:fldChar w:fldCharType="begin"/>
      </w:r>
      <w:r>
        <w:rPr>
          <w:b/>
          <w:bCs/>
          <w:szCs w:val="24"/>
        </w:rPr>
        <w:instrText xml:space="preserve"> REF _Ref159260564 \h </w:instrText>
      </w:r>
      <w:r>
        <w:rPr>
          <w:b/>
          <w:bCs/>
          <w:szCs w:val="24"/>
        </w:rPr>
      </w:r>
      <w:r>
        <w:rPr>
          <w:b/>
          <w:bCs/>
          <w:szCs w:val="24"/>
        </w:rPr>
        <w:fldChar w:fldCharType="separate"/>
      </w:r>
      <w:r>
        <w:rPr>
          <w:rFonts w:cstheme="minorHAnsi"/>
          <w:b/>
          <w:lang w:eastAsia="ko-KR"/>
        </w:rPr>
        <w:t xml:space="preserve">Answer to Q2: </w:t>
      </w:r>
      <w:r w:rsidRPr="00F778B2">
        <w:rPr>
          <w:rFonts w:cstheme="minorHAnsi"/>
          <w:b/>
          <w:lang w:eastAsia="ko-KR"/>
        </w:rPr>
        <w:t>regarding how to define the signalling should be left to RAN2 experts</w:t>
      </w:r>
      <w:r>
        <w:rPr>
          <w:rFonts w:cstheme="minorHAnsi"/>
          <w:b/>
          <w:lang w:eastAsia="ko-KR"/>
        </w:rPr>
        <w:t>.</w:t>
      </w:r>
      <w:r>
        <w:rPr>
          <w:b/>
          <w:bCs/>
          <w:szCs w:val="24"/>
        </w:rPr>
        <w:fldChar w:fldCharType="end"/>
      </w:r>
    </w:p>
    <w:p w14:paraId="35F6D79E" w14:textId="6FC867B4" w:rsidR="0029397D" w:rsidRDefault="0029397D" w:rsidP="00216BB7">
      <w:pPr>
        <w:jc w:val="both"/>
        <w:rPr>
          <w:b/>
          <w:bCs/>
          <w:szCs w:val="24"/>
        </w:rPr>
      </w:pPr>
      <w:r>
        <w:rPr>
          <w:b/>
          <w:bCs/>
          <w:szCs w:val="24"/>
        </w:rPr>
        <w:fldChar w:fldCharType="begin"/>
      </w:r>
      <w:r>
        <w:rPr>
          <w:b/>
          <w:bCs/>
          <w:szCs w:val="24"/>
        </w:rPr>
        <w:instrText xml:space="preserve"> REF _Ref159260581 \r \h </w:instrText>
      </w:r>
      <w:r>
        <w:rPr>
          <w:b/>
          <w:bCs/>
          <w:szCs w:val="24"/>
        </w:rPr>
      </w:r>
      <w:r>
        <w:rPr>
          <w:b/>
          <w:bCs/>
          <w:szCs w:val="24"/>
        </w:rPr>
        <w:fldChar w:fldCharType="separate"/>
      </w:r>
      <w:r>
        <w:rPr>
          <w:b/>
          <w:bCs/>
          <w:szCs w:val="24"/>
        </w:rPr>
        <w:t>Proposal 3:</w:t>
      </w:r>
      <w:r>
        <w:rPr>
          <w:b/>
          <w:bCs/>
          <w:szCs w:val="24"/>
        </w:rPr>
        <w:fldChar w:fldCharType="end"/>
      </w:r>
      <w:r>
        <w:rPr>
          <w:b/>
          <w:bCs/>
          <w:szCs w:val="24"/>
        </w:rPr>
        <w:t xml:space="preserve"> </w:t>
      </w:r>
      <w:r>
        <w:rPr>
          <w:b/>
          <w:bCs/>
          <w:szCs w:val="24"/>
        </w:rPr>
        <w:fldChar w:fldCharType="begin"/>
      </w:r>
      <w:r>
        <w:rPr>
          <w:b/>
          <w:bCs/>
          <w:szCs w:val="24"/>
        </w:rPr>
        <w:instrText xml:space="preserve"> REF _Ref159260581 \h </w:instrText>
      </w:r>
      <w:r>
        <w:rPr>
          <w:b/>
          <w:bCs/>
          <w:szCs w:val="24"/>
        </w:rPr>
      </w:r>
      <w:r>
        <w:rPr>
          <w:b/>
          <w:bCs/>
          <w:szCs w:val="24"/>
        </w:rPr>
        <w:fldChar w:fldCharType="separate"/>
      </w:r>
      <w:r>
        <w:rPr>
          <w:rFonts w:cstheme="minorHAnsi"/>
          <w:b/>
          <w:lang w:eastAsia="ko-KR"/>
        </w:rPr>
        <w:t>RAN4 shall discuss the issue of LTE with SIB24 at the same time with the issue of NR with SIB4.</w:t>
      </w:r>
      <w:r>
        <w:rPr>
          <w:b/>
          <w:bCs/>
          <w:szCs w:val="24"/>
        </w:rPr>
        <w:fldChar w:fldCharType="end"/>
      </w:r>
    </w:p>
    <w:bookmarkEnd w:id="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CC71A80" w14:textId="066AEFB4" w:rsidR="000B7CE4" w:rsidRPr="007038B3" w:rsidRDefault="0012574C" w:rsidP="00D15233">
      <w:pPr>
        <w:pStyle w:val="ListParagraph"/>
        <w:numPr>
          <w:ilvl w:val="0"/>
          <w:numId w:val="4"/>
        </w:numPr>
        <w:jc w:val="both"/>
        <w:rPr>
          <w:rFonts w:cstheme="minorHAnsi"/>
          <w:color w:val="000000"/>
        </w:rPr>
      </w:pPr>
      <w:bookmarkStart w:id="7" w:name="_Ref115358872"/>
      <w:r w:rsidRPr="007038B3">
        <w:rPr>
          <w:rFonts w:cstheme="minorHAnsi"/>
          <w:color w:val="000000"/>
        </w:rPr>
        <w:t>R</w:t>
      </w:r>
      <w:r w:rsidR="007038B3" w:rsidRPr="007038B3">
        <w:rPr>
          <w:rFonts w:cstheme="minorHAnsi"/>
          <w:color w:val="000000"/>
        </w:rPr>
        <w:t>1</w:t>
      </w:r>
      <w:r w:rsidRPr="007038B3">
        <w:rPr>
          <w:rFonts w:cstheme="minorHAnsi"/>
          <w:color w:val="000000"/>
        </w:rPr>
        <w:t>-</w:t>
      </w:r>
      <w:r w:rsidR="007038B3" w:rsidRPr="007038B3">
        <w:rPr>
          <w:rFonts w:cstheme="minorHAnsi"/>
          <w:color w:val="000000"/>
        </w:rPr>
        <w:t>2312668</w:t>
      </w:r>
      <w:r w:rsidRPr="007038B3">
        <w:rPr>
          <w:rFonts w:cstheme="minorHAnsi"/>
          <w:color w:val="000000"/>
        </w:rPr>
        <w:t>, “</w:t>
      </w:r>
      <w:r w:rsidR="007038B3" w:rsidRPr="007038B3">
        <w:rPr>
          <w:rFonts w:cstheme="minorHAnsi"/>
          <w:color w:val="000000"/>
        </w:rPr>
        <w:t>LS on inter-frequency neighbour cells supporting NR dedicated spectrum less than 5 MHz for FR1</w:t>
      </w:r>
      <w:r w:rsidRPr="007038B3">
        <w:rPr>
          <w:rFonts w:cstheme="minorHAnsi"/>
          <w:color w:val="000000"/>
        </w:rPr>
        <w:t xml:space="preserve">”, </w:t>
      </w:r>
      <w:r w:rsidR="007038B3" w:rsidRPr="007038B3">
        <w:rPr>
          <w:rFonts w:cstheme="minorHAnsi"/>
          <w:color w:val="000000"/>
        </w:rPr>
        <w:t>Qualcomm</w:t>
      </w:r>
      <w:r w:rsidR="005E1298" w:rsidRPr="007038B3">
        <w:rPr>
          <w:rFonts w:cstheme="minorHAnsi"/>
          <w:color w:val="000000"/>
        </w:rPr>
        <w:t>,</w:t>
      </w:r>
      <w:r w:rsidR="006445E2" w:rsidRPr="007038B3">
        <w:rPr>
          <w:rFonts w:cstheme="minorHAnsi"/>
          <w:color w:val="000000"/>
        </w:rPr>
        <w:t xml:space="preserve"> </w:t>
      </w:r>
      <w:r w:rsidR="007038B3" w:rsidRPr="007038B3">
        <w:rPr>
          <w:rFonts w:cstheme="minorHAnsi"/>
          <w:color w:val="000000"/>
        </w:rPr>
        <w:t>Chicago</w:t>
      </w:r>
      <w:r w:rsidR="006445E2" w:rsidRPr="007038B3">
        <w:rPr>
          <w:rFonts w:cstheme="minorHAnsi"/>
          <w:color w:val="000000"/>
        </w:rPr>
        <w:t xml:space="preserve">, </w:t>
      </w:r>
      <w:r w:rsidR="007038B3" w:rsidRPr="007038B3">
        <w:rPr>
          <w:rFonts w:cstheme="minorHAnsi"/>
          <w:color w:val="000000"/>
        </w:rPr>
        <w:t>USA</w:t>
      </w:r>
      <w:r w:rsidR="006445E2" w:rsidRPr="007038B3">
        <w:rPr>
          <w:rFonts w:cstheme="minorHAnsi"/>
          <w:color w:val="000000"/>
        </w:rPr>
        <w:t>,</w:t>
      </w:r>
      <w:r w:rsidR="005E1298" w:rsidRPr="007038B3">
        <w:rPr>
          <w:rFonts w:cstheme="minorHAnsi"/>
          <w:color w:val="000000"/>
        </w:rPr>
        <w:t xml:space="preserve"> </w:t>
      </w:r>
      <w:r w:rsidR="007038B3" w:rsidRPr="007038B3">
        <w:rPr>
          <w:rFonts w:cstheme="minorHAnsi"/>
          <w:color w:val="000000"/>
        </w:rPr>
        <w:t>Nov</w:t>
      </w:r>
      <w:r w:rsidR="005E1298" w:rsidRPr="007038B3">
        <w:rPr>
          <w:rFonts w:cstheme="minorHAnsi"/>
          <w:color w:val="000000"/>
        </w:rPr>
        <w:t xml:space="preserve"> 202</w:t>
      </w:r>
      <w:r w:rsidR="006C2C3D" w:rsidRPr="007038B3">
        <w:rPr>
          <w:rFonts w:cstheme="minorHAnsi"/>
          <w:color w:val="000000"/>
        </w:rPr>
        <w:t>3</w:t>
      </w:r>
      <w:r w:rsidRPr="007038B3">
        <w:rPr>
          <w:rFonts w:cstheme="minorHAnsi"/>
          <w:color w:val="000000"/>
        </w:rPr>
        <w:t>.</w:t>
      </w:r>
      <w:bookmarkEnd w:id="7"/>
    </w:p>
    <w:sectPr w:rsidR="000B7CE4" w:rsidRPr="007038B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4F2C0" w14:textId="77777777" w:rsidR="0025136E" w:rsidRDefault="0025136E">
      <w:r>
        <w:separator/>
      </w:r>
    </w:p>
  </w:endnote>
  <w:endnote w:type="continuationSeparator" w:id="0">
    <w:p w14:paraId="14433EE3" w14:textId="77777777" w:rsidR="0025136E" w:rsidRDefault="0025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0CC8" w14:textId="77777777" w:rsidR="0025136E" w:rsidRDefault="0025136E">
      <w:r>
        <w:separator/>
      </w:r>
    </w:p>
  </w:footnote>
  <w:footnote w:type="continuationSeparator" w:id="0">
    <w:p w14:paraId="231555C2" w14:textId="77777777" w:rsidR="0025136E" w:rsidRDefault="0025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8C2AE1"/>
    <w:multiLevelType w:val="hybridMultilevel"/>
    <w:tmpl w:val="6688E3D0"/>
    <w:lvl w:ilvl="0" w:tplc="250EF666">
      <w:start w:val="1"/>
      <w:numFmt w:val="bullet"/>
      <w:lvlText w:val="–"/>
      <w:lvlJc w:val="left"/>
      <w:pPr>
        <w:tabs>
          <w:tab w:val="num" w:pos="720"/>
        </w:tabs>
        <w:ind w:left="720" w:hanging="360"/>
      </w:pPr>
      <w:rPr>
        <w:rFonts w:ascii="Calibri Light" w:hAnsi="Calibri Light" w:hint="default"/>
      </w:rPr>
    </w:lvl>
    <w:lvl w:ilvl="1" w:tplc="45984E24">
      <w:start w:val="1"/>
      <w:numFmt w:val="bullet"/>
      <w:lvlText w:val="–"/>
      <w:lvlJc w:val="left"/>
      <w:pPr>
        <w:tabs>
          <w:tab w:val="num" w:pos="1440"/>
        </w:tabs>
        <w:ind w:left="1440" w:hanging="360"/>
      </w:pPr>
      <w:rPr>
        <w:rFonts w:ascii="Calibri Light" w:hAnsi="Calibri Light" w:hint="default"/>
      </w:rPr>
    </w:lvl>
    <w:lvl w:ilvl="2" w:tplc="39D02F74" w:tentative="1">
      <w:start w:val="1"/>
      <w:numFmt w:val="bullet"/>
      <w:lvlText w:val="–"/>
      <w:lvlJc w:val="left"/>
      <w:pPr>
        <w:tabs>
          <w:tab w:val="num" w:pos="2160"/>
        </w:tabs>
        <w:ind w:left="2160" w:hanging="360"/>
      </w:pPr>
      <w:rPr>
        <w:rFonts w:ascii="Calibri Light" w:hAnsi="Calibri Light" w:hint="default"/>
      </w:rPr>
    </w:lvl>
    <w:lvl w:ilvl="3" w:tplc="FFC02EF8" w:tentative="1">
      <w:start w:val="1"/>
      <w:numFmt w:val="bullet"/>
      <w:lvlText w:val="–"/>
      <w:lvlJc w:val="left"/>
      <w:pPr>
        <w:tabs>
          <w:tab w:val="num" w:pos="2880"/>
        </w:tabs>
        <w:ind w:left="2880" w:hanging="360"/>
      </w:pPr>
      <w:rPr>
        <w:rFonts w:ascii="Calibri Light" w:hAnsi="Calibri Light" w:hint="default"/>
      </w:rPr>
    </w:lvl>
    <w:lvl w:ilvl="4" w:tplc="48681DEC" w:tentative="1">
      <w:start w:val="1"/>
      <w:numFmt w:val="bullet"/>
      <w:lvlText w:val="–"/>
      <w:lvlJc w:val="left"/>
      <w:pPr>
        <w:tabs>
          <w:tab w:val="num" w:pos="3600"/>
        </w:tabs>
        <w:ind w:left="3600" w:hanging="360"/>
      </w:pPr>
      <w:rPr>
        <w:rFonts w:ascii="Calibri Light" w:hAnsi="Calibri Light" w:hint="default"/>
      </w:rPr>
    </w:lvl>
    <w:lvl w:ilvl="5" w:tplc="522CBB28" w:tentative="1">
      <w:start w:val="1"/>
      <w:numFmt w:val="bullet"/>
      <w:lvlText w:val="–"/>
      <w:lvlJc w:val="left"/>
      <w:pPr>
        <w:tabs>
          <w:tab w:val="num" w:pos="4320"/>
        </w:tabs>
        <w:ind w:left="4320" w:hanging="360"/>
      </w:pPr>
      <w:rPr>
        <w:rFonts w:ascii="Calibri Light" w:hAnsi="Calibri Light" w:hint="default"/>
      </w:rPr>
    </w:lvl>
    <w:lvl w:ilvl="6" w:tplc="7FFC6306" w:tentative="1">
      <w:start w:val="1"/>
      <w:numFmt w:val="bullet"/>
      <w:lvlText w:val="–"/>
      <w:lvlJc w:val="left"/>
      <w:pPr>
        <w:tabs>
          <w:tab w:val="num" w:pos="5040"/>
        </w:tabs>
        <w:ind w:left="5040" w:hanging="360"/>
      </w:pPr>
      <w:rPr>
        <w:rFonts w:ascii="Calibri Light" w:hAnsi="Calibri Light" w:hint="default"/>
      </w:rPr>
    </w:lvl>
    <w:lvl w:ilvl="7" w:tplc="3CA298DE" w:tentative="1">
      <w:start w:val="1"/>
      <w:numFmt w:val="bullet"/>
      <w:lvlText w:val="–"/>
      <w:lvlJc w:val="left"/>
      <w:pPr>
        <w:tabs>
          <w:tab w:val="num" w:pos="5760"/>
        </w:tabs>
        <w:ind w:left="5760" w:hanging="360"/>
      </w:pPr>
      <w:rPr>
        <w:rFonts w:ascii="Calibri Light" w:hAnsi="Calibri Light" w:hint="default"/>
      </w:rPr>
    </w:lvl>
    <w:lvl w:ilvl="8" w:tplc="1BFE5B82"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34C62"/>
    <w:multiLevelType w:val="hybridMultilevel"/>
    <w:tmpl w:val="9244E2B4"/>
    <w:lvl w:ilvl="0" w:tplc="EDF2FB5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4"/>
  </w:num>
  <w:num w:numId="2" w16cid:durableId="1529491711">
    <w:abstractNumId w:val="15"/>
  </w:num>
  <w:num w:numId="3" w16cid:durableId="1836336963">
    <w:abstractNumId w:val="20"/>
  </w:num>
  <w:num w:numId="4" w16cid:durableId="1064065014">
    <w:abstractNumId w:val="32"/>
  </w:num>
  <w:num w:numId="5" w16cid:durableId="1874295937">
    <w:abstractNumId w:val="5"/>
  </w:num>
  <w:num w:numId="6" w16cid:durableId="1660575323">
    <w:abstractNumId w:val="16"/>
  </w:num>
  <w:num w:numId="7" w16cid:durableId="405811123">
    <w:abstractNumId w:val="10"/>
  </w:num>
  <w:num w:numId="8" w16cid:durableId="1690639146">
    <w:abstractNumId w:val="36"/>
  </w:num>
  <w:num w:numId="9" w16cid:durableId="2036926316">
    <w:abstractNumId w:val="26"/>
  </w:num>
  <w:num w:numId="10" w16cid:durableId="1655257079">
    <w:abstractNumId w:val="7"/>
  </w:num>
  <w:num w:numId="11" w16cid:durableId="433675722">
    <w:abstractNumId w:val="38"/>
  </w:num>
  <w:num w:numId="12" w16cid:durableId="151144584">
    <w:abstractNumId w:val="6"/>
  </w:num>
  <w:num w:numId="13" w16cid:durableId="135800174">
    <w:abstractNumId w:val="24"/>
  </w:num>
  <w:num w:numId="14" w16cid:durableId="635070428">
    <w:abstractNumId w:val="35"/>
  </w:num>
  <w:num w:numId="15" w16cid:durableId="1955406088">
    <w:abstractNumId w:val="2"/>
  </w:num>
  <w:num w:numId="16" w16cid:durableId="1267033831">
    <w:abstractNumId w:val="37"/>
  </w:num>
  <w:num w:numId="17" w16cid:durableId="404649148">
    <w:abstractNumId w:val="25"/>
  </w:num>
  <w:num w:numId="18" w16cid:durableId="1877306462">
    <w:abstractNumId w:val="22"/>
  </w:num>
  <w:num w:numId="19" w16cid:durableId="799686261">
    <w:abstractNumId w:val="3"/>
  </w:num>
  <w:num w:numId="20" w16cid:durableId="1574390225">
    <w:abstractNumId w:val="31"/>
  </w:num>
  <w:num w:numId="21" w16cid:durableId="1179275057">
    <w:abstractNumId w:val="30"/>
  </w:num>
  <w:num w:numId="22" w16cid:durableId="252903913">
    <w:abstractNumId w:val="19"/>
  </w:num>
  <w:num w:numId="23" w16cid:durableId="1664118192">
    <w:abstractNumId w:val="40"/>
  </w:num>
  <w:num w:numId="24" w16cid:durableId="4947153">
    <w:abstractNumId w:val="21"/>
  </w:num>
  <w:num w:numId="25" w16cid:durableId="1114596299">
    <w:abstractNumId w:val="8"/>
  </w:num>
  <w:num w:numId="26" w16cid:durableId="1841920556">
    <w:abstractNumId w:val="28"/>
  </w:num>
  <w:num w:numId="27" w16cid:durableId="1458600368">
    <w:abstractNumId w:val="12"/>
  </w:num>
  <w:num w:numId="28" w16cid:durableId="1363214572">
    <w:abstractNumId w:val="1"/>
  </w:num>
  <w:num w:numId="29" w16cid:durableId="1890722209">
    <w:abstractNumId w:val="39"/>
  </w:num>
  <w:num w:numId="30" w16cid:durableId="558246859">
    <w:abstractNumId w:val="9"/>
  </w:num>
  <w:num w:numId="31" w16cid:durableId="1039740088">
    <w:abstractNumId w:val="14"/>
  </w:num>
  <w:num w:numId="32" w16cid:durableId="1630622414">
    <w:abstractNumId w:val="33"/>
  </w:num>
  <w:num w:numId="33" w16cid:durableId="1593322538">
    <w:abstractNumId w:val="4"/>
  </w:num>
  <w:num w:numId="34" w16cid:durableId="799614077">
    <w:abstractNumId w:val="0"/>
  </w:num>
  <w:num w:numId="35" w16cid:durableId="1100027143">
    <w:abstractNumId w:val="27"/>
  </w:num>
  <w:num w:numId="36" w16cid:durableId="103353265">
    <w:abstractNumId w:val="17"/>
  </w:num>
  <w:num w:numId="37" w16cid:durableId="2089619198">
    <w:abstractNumId w:val="23"/>
  </w:num>
  <w:num w:numId="38" w16cid:durableId="185943420">
    <w:abstractNumId w:val="29"/>
  </w:num>
  <w:num w:numId="39" w16cid:durableId="175854475">
    <w:abstractNumId w:val="13"/>
  </w:num>
  <w:num w:numId="40" w16cid:durableId="1175730132">
    <w:abstractNumId w:val="18"/>
  </w:num>
  <w:num w:numId="41" w16cid:durableId="36687378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A49"/>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57C9E"/>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36D"/>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B7CE4"/>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60"/>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ACB"/>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BB7"/>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0C5"/>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36E"/>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57FD1"/>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77E15"/>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97D"/>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1B72"/>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34E"/>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E82"/>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84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893"/>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CA7"/>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6C79"/>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46"/>
    <w:rsid w:val="0052607B"/>
    <w:rsid w:val="00527A83"/>
    <w:rsid w:val="00527B01"/>
    <w:rsid w:val="0053004F"/>
    <w:rsid w:val="005300F9"/>
    <w:rsid w:val="0053034D"/>
    <w:rsid w:val="00530CE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528"/>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4B9"/>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A8F"/>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0F2E"/>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4873"/>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A5E"/>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46"/>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2C3D"/>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CED"/>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8B3"/>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9A9"/>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6DB3"/>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04"/>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611"/>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B1E"/>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179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0C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2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AF1"/>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40F"/>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084"/>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238"/>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4BC"/>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3F2E"/>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2C5"/>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0E22"/>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CFB"/>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B98"/>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0B"/>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6F53"/>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6A6"/>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2AE"/>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2C"/>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47"/>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11A"/>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C0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B6D"/>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5"/>
    <w:rsid w:val="00B1586D"/>
    <w:rsid w:val="00B158B2"/>
    <w:rsid w:val="00B159A0"/>
    <w:rsid w:val="00B15A77"/>
    <w:rsid w:val="00B15B52"/>
    <w:rsid w:val="00B15EF8"/>
    <w:rsid w:val="00B16C5A"/>
    <w:rsid w:val="00B17180"/>
    <w:rsid w:val="00B175E8"/>
    <w:rsid w:val="00B1797A"/>
    <w:rsid w:val="00B17E2C"/>
    <w:rsid w:val="00B2019B"/>
    <w:rsid w:val="00B20349"/>
    <w:rsid w:val="00B204BD"/>
    <w:rsid w:val="00B205C5"/>
    <w:rsid w:val="00B2086D"/>
    <w:rsid w:val="00B20C9A"/>
    <w:rsid w:val="00B20E27"/>
    <w:rsid w:val="00B215D9"/>
    <w:rsid w:val="00B218C8"/>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0EB"/>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8D7"/>
    <w:rsid w:val="00BA2F81"/>
    <w:rsid w:val="00BA3A4C"/>
    <w:rsid w:val="00BA3E3E"/>
    <w:rsid w:val="00BA4530"/>
    <w:rsid w:val="00BA4BE0"/>
    <w:rsid w:val="00BA546D"/>
    <w:rsid w:val="00BA6367"/>
    <w:rsid w:val="00BA63ED"/>
    <w:rsid w:val="00BA668E"/>
    <w:rsid w:val="00BA6988"/>
    <w:rsid w:val="00BA6C7E"/>
    <w:rsid w:val="00BA6F80"/>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2C8"/>
    <w:rsid w:val="00BC73EE"/>
    <w:rsid w:val="00BC7768"/>
    <w:rsid w:val="00BC78C6"/>
    <w:rsid w:val="00BC7D6B"/>
    <w:rsid w:val="00BC7F1F"/>
    <w:rsid w:val="00BD0600"/>
    <w:rsid w:val="00BD1CD2"/>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42A"/>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7B8"/>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194"/>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2CA"/>
    <w:rsid w:val="00CE3920"/>
    <w:rsid w:val="00CE39B1"/>
    <w:rsid w:val="00CE4079"/>
    <w:rsid w:val="00CE40EA"/>
    <w:rsid w:val="00CE4126"/>
    <w:rsid w:val="00CE43C0"/>
    <w:rsid w:val="00CE4526"/>
    <w:rsid w:val="00CE47DC"/>
    <w:rsid w:val="00CE47F7"/>
    <w:rsid w:val="00CE4866"/>
    <w:rsid w:val="00CE4EFE"/>
    <w:rsid w:val="00CE4FF9"/>
    <w:rsid w:val="00CE5061"/>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0D0"/>
    <w:rsid w:val="00D15233"/>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934"/>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02A"/>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8E7"/>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43B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9B"/>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730"/>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A2E"/>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4D8E"/>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8B2"/>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4F"/>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11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AB31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31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EQChar">
    <w:name w:val="EQ Char"/>
    <w:link w:val="EQ"/>
    <w:qFormat/>
    <w:locked/>
    <w:rsid w:val="00CE32CA"/>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64336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568757">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49953609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331830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308896">
      <w:bodyDiv w:val="1"/>
      <w:marLeft w:val="0"/>
      <w:marRight w:val="0"/>
      <w:marTop w:val="0"/>
      <w:marBottom w:val="0"/>
      <w:divBdr>
        <w:top w:val="none" w:sz="0" w:space="0" w:color="auto"/>
        <w:left w:val="none" w:sz="0" w:space="0" w:color="auto"/>
        <w:bottom w:val="none" w:sz="0" w:space="0" w:color="auto"/>
        <w:right w:val="none" w:sz="0" w:space="0" w:color="auto"/>
      </w:divBdr>
      <w:divsChild>
        <w:div w:id="682586148">
          <w:marLeft w:val="1267"/>
          <w:marRight w:val="0"/>
          <w:marTop w:val="180"/>
          <w:marBottom w:val="0"/>
          <w:divBdr>
            <w:top w:val="none" w:sz="0" w:space="0" w:color="auto"/>
            <w:left w:val="none" w:sz="0" w:space="0" w:color="auto"/>
            <w:bottom w:val="none" w:sz="0" w:space="0" w:color="auto"/>
            <w:right w:val="none" w:sz="0" w:space="0" w:color="auto"/>
          </w:divBdr>
        </w:div>
        <w:div w:id="200601199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 - R18 changes after Chicago</cp:lastModifiedBy>
  <cp:revision>2</cp:revision>
  <dcterms:created xsi:type="dcterms:W3CDTF">2024-02-19T22:04:00Z</dcterms:created>
  <dcterms:modified xsi:type="dcterms:W3CDTF">2024-02-19T22:04:00Z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